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0892" w14:textId="77777777" w:rsidR="00F47CB0" w:rsidRPr="0085436D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5F6EE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4" o:title=""/>
          </v:shape>
          <o:OLEObject Type="Embed" ProgID="Word.Picture.8" ShapeID="_x0000_i1025" DrawAspect="Content" ObjectID="_1806828061" r:id="rId5"/>
        </w:object>
      </w:r>
    </w:p>
    <w:p w14:paraId="02F2A01C" w14:textId="77777777" w:rsidR="00F47CB0" w:rsidRPr="0085436D" w:rsidRDefault="00F47CB0" w:rsidP="00F4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30F50832" w14:textId="77777777" w:rsidR="00F47CB0" w:rsidRPr="0085436D" w:rsidRDefault="00F47CB0" w:rsidP="00F4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43483E95" w14:textId="77777777" w:rsidR="00F47CB0" w:rsidRPr="0085436D" w:rsidRDefault="00F47CB0" w:rsidP="00F4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4595B17F" w14:textId="77777777" w:rsidR="00F47CB0" w:rsidRPr="0085436D" w:rsidRDefault="00F47CB0" w:rsidP="00F4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AC72709" w14:textId="77777777" w:rsidR="00F47CB0" w:rsidRPr="0085436D" w:rsidRDefault="00F47CB0" w:rsidP="00F4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314C33" w14:textId="77777777" w:rsidR="00F47CB0" w:rsidRPr="0085436D" w:rsidRDefault="00F47CB0" w:rsidP="00F47CB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34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2F4528C1" w14:textId="77777777" w:rsidR="00F47CB0" w:rsidRPr="0085436D" w:rsidRDefault="00F47CB0" w:rsidP="00F47C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0B3940FE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E7F11B0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BD6565E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призначення фінансового відділу відповідальним за реалізацію державної регуляторної політики</w:t>
      </w:r>
    </w:p>
    <w:p w14:paraId="48BC2E49" w14:textId="77777777" w:rsidR="00F47CB0" w:rsidRPr="00EA5079" w:rsidRDefault="00F47CB0" w:rsidP="00F47CB0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6489410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Закону України» «Про засади державної регуляторної політики у сфері господарської діяльності», з метою забезпечення реалізації державної регуляторної політики в </w:t>
      </w:r>
      <w:proofErr w:type="spellStart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територіальній громаді, керуючись Законом України «Про місцеве самоврядування в Україні», виконавчий комітет сільської ради </w:t>
      </w:r>
    </w:p>
    <w:p w14:paraId="59651914" w14:textId="77777777" w:rsidR="00F47CB0" w:rsidRPr="00EA5079" w:rsidRDefault="00F47CB0" w:rsidP="00F47CB0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800A6E" w14:textId="77777777" w:rsidR="00F47CB0" w:rsidRPr="00EA5079" w:rsidRDefault="00F47CB0" w:rsidP="00F47CB0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</w:t>
      </w:r>
      <w:r w:rsidRPr="00EA5079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:</w:t>
      </w:r>
    </w:p>
    <w:p w14:paraId="491CE298" w14:textId="77777777" w:rsidR="00F47CB0" w:rsidRPr="00EA5079" w:rsidRDefault="00F47CB0" w:rsidP="00F47CB0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42DC9BE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1. Призначити відповідальним за здійснення державної регуляторної політики у </w:t>
      </w:r>
      <w:proofErr w:type="spellStart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Станіславчицькій</w:t>
      </w:r>
      <w:proofErr w:type="spellEnd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раді фінансовий відділ </w:t>
      </w:r>
      <w:proofErr w:type="spellStart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ради.</w:t>
      </w:r>
    </w:p>
    <w:p w14:paraId="1BA166C7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F09160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2. Затвердити Положення про порядок здійснення державної регуляторної політики </w:t>
      </w:r>
      <w:proofErr w:type="spellStart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Станіславчицькою</w:t>
      </w:r>
      <w:proofErr w:type="spellEnd"/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сільською радою та її виконавчим комітетом (Додаток №1).</w:t>
      </w:r>
    </w:p>
    <w:p w14:paraId="3D05C261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0FEC70D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3. Контроль за виконанням даного рішення покласти на заступника сільського голови з питань виконавчих органів ради (Станіслав ГРИНЧУК).</w:t>
      </w:r>
    </w:p>
    <w:p w14:paraId="6926FFF5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3649BA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B71160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22818B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5D07A1A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0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 Володимир ПЕРЕПЕЧАЙ</w:t>
      </w:r>
    </w:p>
    <w:p w14:paraId="69E911A8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574E8C" w14:textId="77777777" w:rsidR="00F47CB0" w:rsidRPr="00EA5079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6D15A6" w14:textId="77777777" w:rsidR="00F47CB0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8E42B0A" w14:textId="77777777" w:rsidR="00F47CB0" w:rsidRPr="003F3337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453FF24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</w:p>
    <w:p w14:paraId="456FE01E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F5C925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328003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65B867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5FFB91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42D3B3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C054C3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80BBC5" w14:textId="77777777" w:rsidR="00F47CB0" w:rsidRPr="003F3337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Додаток №1</w:t>
      </w:r>
    </w:p>
    <w:p w14:paraId="6DB04304" w14:textId="77777777" w:rsidR="00F47CB0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 рішення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</w:p>
    <w:p w14:paraId="1E07D11D" w14:textId="77777777" w:rsidR="00F47CB0" w:rsidRPr="003F3337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виконавчого комітету </w:t>
      </w:r>
    </w:p>
    <w:p w14:paraId="2CEE054D" w14:textId="77777777" w:rsidR="00F47CB0" w:rsidRPr="003F3337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від 31.03.2025 року</w:t>
      </w:r>
    </w:p>
    <w:p w14:paraId="424E248D" w14:textId="77777777" w:rsidR="00F47CB0" w:rsidRPr="003F3337" w:rsidRDefault="00F47CB0" w:rsidP="00F47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D1D4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Положення</w:t>
      </w:r>
    </w:p>
    <w:p w14:paraId="1FB9D1EA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 порядок здійснення державної регуляторної політики</w:t>
      </w:r>
    </w:p>
    <w:p w14:paraId="36B6C7AA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proofErr w:type="spellStart"/>
      <w:r w:rsidRPr="003F333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Станіславчицькою</w:t>
      </w:r>
      <w:proofErr w:type="spellEnd"/>
      <w:r w:rsidRPr="003F333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сільською </w:t>
      </w:r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радою та її виконавчим комітетом</w:t>
      </w:r>
    </w:p>
    <w:p w14:paraId="1D168D7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</w:p>
    <w:p w14:paraId="053CE2E0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1. Загальні положення</w:t>
      </w:r>
    </w:p>
    <w:p w14:paraId="0BD84F0B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1.1. Положення про порядок здійснення державної регуляторної політики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Станіславчицькою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сільською радою (далі – сільська рада) та її виконавчим комітетом (далі – Положення) розроблено з метою реалізації повноважень сільської ради у здійсненні державної регуляторної політики, встановлення єдиного підходу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обгрунтування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та прийняття прозорих, ефективних та економічно доцільних регуляторних актів, а також усунення перешкод для розвитку підприємницької діяльності.</w:t>
      </w:r>
    </w:p>
    <w:p w14:paraId="045D1E29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1.2. Положення розроблено відповідно до вимог законів України «Про засади державної регуляторної політики у сфері господарської діяльності», «Про місцеве самоврядування в Україні». Постанови Кабінету Міністрів України від 11 березня 2024 р. №308 «Про затвердження методики проведення аналізу впливу та відстеження результативності регуляторного акту».</w:t>
      </w:r>
    </w:p>
    <w:p w14:paraId="035AB11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1.3. Положення регулює процеси підготовки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регуляторних актів, прийняття регуляторних актів, офіційного оприлюднення прийнятих регуляторних актів, відстеження їх результативності, перегляду, оприлюднення інформації про здійснення регуляторної діяльності та звітування про здійснення державної регуляторної політики.</w:t>
      </w:r>
    </w:p>
    <w:p w14:paraId="49494B1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1.4. Відповідальним за реалізацію державної регуляторної політики в раді є фінансовий відділ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Станіславчицької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сільської ради (далі Фінансовий відділ).</w:t>
      </w:r>
    </w:p>
    <w:p w14:paraId="1BD1F1D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1.5. Фінансовий відділ є виконавчим органом ради, одним із завдань якого є забезпечення реалізації державної регуляторної політики, надання висновків та приведення регуляторних актів, винесених на розгляд сільської ради у відповідність до вимог статей 4,8  Закону України «Про засади державної регуляторної політики у сфері господарської діяльності», з метою запровадження демократичних принципів у сфері правового регулювання господарської діяльності.</w:t>
      </w:r>
    </w:p>
    <w:p w14:paraId="6036B790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1.6. В цьому Положенні основні терміни застосовуються у такому значенні:</w:t>
      </w:r>
    </w:p>
    <w:p w14:paraId="2E2D0AF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   </w:t>
      </w:r>
      <w:r w:rsidRPr="003F333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регуляторний орган  </w:t>
      </w: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- орган місцевого самоврядування, який, відповідно до своїх повноважень, приймає регуляторні акти, тобто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Станіславчицька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сільська рада, виконавчий комітет та сільський голова;</w:t>
      </w:r>
    </w:p>
    <w:p w14:paraId="1109B484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  регуляторний акт</w:t>
      </w: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– рішення сільської ради нормативно-правового характеру, яке або окремі положення якого спрямовані на правове регулювання господарських відносин, а також адміністративних відносин між сільською радою та суб’єктами господарювання;</w:t>
      </w:r>
    </w:p>
    <w:p w14:paraId="3C5EF42F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  аналіз регуляторного впливу</w:t>
      </w: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– документ, який містить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обгрунтування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необхідності державного регулювання шляхом прийняття регуляторного акту, аналіз впливу, який справлятиме регуляторний акт на ринкове середовище, забезпечення прав та інтересів суб’єктів господарювання, громадян та держави, а також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обгрунтування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відповідності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регуляторного акту принципам державної регуляторної політики;</w:t>
      </w:r>
    </w:p>
    <w:p w14:paraId="21CA8CD0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  </w:t>
      </w:r>
      <w:r w:rsidRPr="003F333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відстеження результативності регуляторного акту</w:t>
      </w: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– заходи, спрямовані на оцінку стану впровадження регуляторного акту та досягнення цим актом цілей, задекларованих при його прийнятті;</w:t>
      </w:r>
    </w:p>
    <w:p w14:paraId="7288C3F4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 звіт про відстеження результативності регуляторного акту</w:t>
      </w: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– документ, який містить дані про результати відстеження результативності регуляторного акту та про методи, за допомогою яких було здійснено таке відстеження.    </w:t>
      </w:r>
    </w:p>
    <w:p w14:paraId="03D250EB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1.7. Організаційне забезпечення здійснення державної регуляторної політики покладається розпорядження сільського голови.</w:t>
      </w:r>
    </w:p>
    <w:p w14:paraId="367702CA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lastRenderedPageBreak/>
        <w:t xml:space="preserve">1.8. Відповідальність за дотриманням вимог законодавства у сфері державної регуляторної політики з підготовки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регуляторних актів до розгляду радою та її виконавчим комітетом покладається на розробників </w:t>
      </w:r>
      <w:proofErr w:type="spellStart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.</w:t>
      </w:r>
    </w:p>
    <w:p w14:paraId="0EB2DAC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</w:p>
    <w:p w14:paraId="7E808EA9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2. Підготовка </w:t>
      </w:r>
      <w:proofErr w:type="spellStart"/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CFDFD"/>
          <w:lang w:val="uk-UA" w:eastAsia="uk-UA"/>
        </w:rPr>
        <w:t xml:space="preserve"> регуляторних актів</w:t>
      </w:r>
    </w:p>
    <w:p w14:paraId="24EDDF5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2.1. Підготовка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предбачає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:</w:t>
      </w:r>
    </w:p>
    <w:p w14:paraId="549D961F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планування діяльності сільської ради з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актів;</w:t>
      </w:r>
    </w:p>
    <w:p w14:paraId="3C94FFB9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розроблення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актів;</w:t>
      </w:r>
    </w:p>
    <w:p w14:paraId="3B233B9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підготовка аналізу регуляторного впливу; </w:t>
      </w:r>
    </w:p>
    <w:p w14:paraId="51B1F276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оприлюднення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 та аналізу регуляторного впливу з метою одержання зауважень і пропозицій;</w:t>
      </w:r>
    </w:p>
    <w:p w14:paraId="32AF743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проведення обговорення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акту;</w:t>
      </w:r>
    </w:p>
    <w:p w14:paraId="1009D8D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- розгляд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актів.</w:t>
      </w:r>
    </w:p>
    <w:p w14:paraId="64D083C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2E5D253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3. Планування діяльності сільської ради з підготовки </w:t>
      </w:r>
      <w:proofErr w:type="spellStart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 регуляторних актів</w:t>
      </w:r>
    </w:p>
    <w:p w14:paraId="46689AD9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3.1. Сільська рада затверджує плани діяльності з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на наступний календарний рік не пізніше 15 грудня поточного року.</w:t>
      </w:r>
    </w:p>
    <w:p w14:paraId="36094CB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3.2. План діяльності з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повинен містити визначення видів і назв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, цілей їх прийняття, строків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, найменування органів та підрозділів, відповідальних за розроблення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актів.</w:t>
      </w:r>
    </w:p>
    <w:p w14:paraId="1DD04F0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3.3. Затверджений план сільською радою з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актів, а також відповідні зміни до нього, оприлюднюються не пізніше як у 10-ти денний строк після їх затвердження шляхом розміщення на офіційному сайті сільської ради в мережі Інтернет. </w:t>
      </w:r>
    </w:p>
    <w:p w14:paraId="5B73F3B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3.4.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 не розглядається, якщо він не був внесений в План діяльності з підготовки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з наступним оприлюдненням плану.</w:t>
      </w:r>
    </w:p>
    <w:p w14:paraId="0A59943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3.5. Питання щодо змін до вказаного плану виноситься на затвердження сесії сільської ради.</w:t>
      </w:r>
    </w:p>
    <w:p w14:paraId="2997C89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3.6. Витрати,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пов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’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язані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з оприлюдненням плану роботи сільської ради, фінансуються за рахунок сільської ради.</w:t>
      </w:r>
    </w:p>
    <w:p w14:paraId="3EF61A3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0257E0D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4. Розроблення </w:t>
      </w:r>
      <w:proofErr w:type="spellStart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 регуляторних актів</w:t>
      </w:r>
    </w:p>
    <w:p w14:paraId="005A129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4.1. Розробником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можуть бути депутати сільської ради, сільський голова, виконавчий комітет сільської ради або його структурні підрозділи, постійні комісії сільської ради, особа чи група осіб, що уповноважені розроблювати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проєкти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актів. </w:t>
      </w:r>
    </w:p>
    <w:p w14:paraId="1A880D5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4.2. До оприлюднення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акта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його розробником готується аналіз регуляторного впливу.</w:t>
      </w:r>
    </w:p>
    <w:p w14:paraId="70739A7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1DF979B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5. Підготовка аналізу регуляторного впливу</w:t>
      </w:r>
    </w:p>
    <w:p w14:paraId="06BFE54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5.1. Підготовка аналізу регуляторного впливу здійснюється  розробником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 в порядку, встановленому ст. 8 Закону України «Про засади державної регуляторної політики у сфері господарської діяльності», та відповідно до Постанови Кабінету Міністрів від 11.03.20204 р. №308 «Про затвердження методики проведення аналізу впливу та відстеження результативності регуляторного акту».</w:t>
      </w:r>
    </w:p>
    <w:p w14:paraId="0ACAE52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5.2. У разі внесення на розгляд сільської ради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 без аналізу регуляторного впливу відповідальний фінансовий відділ приймає рішення про направлення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 на доопрацювання органу чи особі, яка внесла цей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. </w:t>
      </w:r>
    </w:p>
    <w:p w14:paraId="24C5CA4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5.3. Аналіз регуляторного впливу підписується розробником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регуляторного акту.</w:t>
      </w:r>
    </w:p>
    <w:p w14:paraId="52EE001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0F85C38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6. Оприлюднення </w:t>
      </w:r>
      <w:proofErr w:type="spellStart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 регуляторного акту та аналізу регуляторного впливу з метою одержання зауважень і пропозицій</w:t>
      </w:r>
    </w:p>
    <w:p w14:paraId="19AAD7BB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6.1. Оприлюднення з метою одержання зауважень і пропозицій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регуляторних актів проводиться до внесення цих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на розгляд сільської ради.</w:t>
      </w:r>
    </w:p>
    <w:p w14:paraId="4A22D190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lastRenderedPageBreak/>
        <w:t xml:space="preserve">6.2. За рішенням відповідального </w:t>
      </w: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здійснення державної регуляторної політики:</w:t>
      </w:r>
    </w:p>
    <w:p w14:paraId="34CE56BB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оприлюднюються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актів, які не оприлюднювалися до внесення їх на розгляд сільської ради;</w:t>
      </w:r>
    </w:p>
    <w:p w14:paraId="6AE2207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можуть повторно оприлюднюватися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проєкти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актів, які оприлюднювалися до внесення на розгляд сільської ради;</w:t>
      </w:r>
    </w:p>
    <w:p w14:paraId="000481F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повідомлення про оприлюднення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акту,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та відповідальний за аналіз регуляторного впливу оприлюднюється в порядку та строки, встановлені ст.9, 13 Закону України «Про засади державної регуляторної політики у сфері господарської діяльності» шляхом розміщення на офіційному сайті сільської ради в мережі Інтернет.</w:t>
      </w:r>
    </w:p>
    <w:p w14:paraId="47F9FF8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CD878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Оприлюднення обговорення </w:t>
      </w:r>
      <w:proofErr w:type="spellStart"/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регуляторного акту</w:t>
      </w:r>
    </w:p>
    <w:p w14:paraId="53D47246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Зауваження та пропозиції щодо оприлюдненого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акту, внесеного на розгляд сільської ради, та відповідного аналізу регуляторного впливу надаються фізичними та юридичними особами, їх об’єднаннями розробникові цього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830BE6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Строк, протягом якого від фізичних та юридичних осіб, їх об’єднань приймаються зауваження та пропозиції, встановлюється розробником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і не може бути меншим ніж 1 місяць та більшим ніж 3 місяці з дня оприлюднення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та відповідного аналізу регуляторного впливу.</w:t>
      </w:r>
    </w:p>
    <w:p w14:paraId="21060AA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7.3. Усі зауваження і пропозиції щодо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та відповідного аналізу регуляторного впливу, одержані протягом встановленого ч. 6 ст. 9 Закону України «Про засади державної регуляторної політики у сфері господарської діяльності» строку, підлягають обов’язковому розгляду розробником цього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результатами цього розгляду розробник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повністю чи частково враховує одержані зауваження і пропозиції або мотивовано їх відхиляє.</w:t>
      </w:r>
    </w:p>
    <w:p w14:paraId="7FD3853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AA023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8. Розгляд </w:t>
      </w:r>
      <w:proofErr w:type="spellStart"/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регуляторних актів</w:t>
      </w:r>
    </w:p>
    <w:p w14:paraId="4524E32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8.1. Кожен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регуляторного акту, що внесений на розгляд сільської ради, подається до відповідної постійної комісії для вивчення та надання висновків  про відповідність 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вимогам статей 4 та 8 Закону України «Про засади державної регуляторної політики у сфері господарської діяльності». </w:t>
      </w:r>
    </w:p>
    <w:p w14:paraId="332B5F4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8.2. На підставі аналізу регуляторного впливу, яким супроводжується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про його внесенні на розгляд сільської ради, відповідальний за здійснення державної регуляторної політики готує свої висновки про відповідність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вимогам статей 4 та 8 Закону України «Про засади державної регуляторної політики у сфері господарської діяльності». </w:t>
      </w:r>
    </w:p>
    <w:p w14:paraId="21F225C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8.3. Розробник регуляторного акту надсилає до Державної регуляторної служби України (уповноваженого органу)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рішення, підписаний аналіз регуляторного впливу та експертний висновок відповідального за здійснення державної регуляторної політики для підготовки у встановленому Кабінетом Міністрів України порядку пропозиції щодо удосконалення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принципів державної регуляторної політики.</w:t>
      </w:r>
    </w:p>
    <w:p w14:paraId="619FB248" w14:textId="77777777" w:rsidR="00F47CB0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8.4. При представленні на пленарному засіданні  сільської ради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розробники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проєктів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голова відповідної постійної комісії доповідають висновки цієї постійної комісії про відповідність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вимогам статей 4 та 8 Закону України «Про засади державної регуляторної політики у сфері господарської діяльності».</w:t>
      </w:r>
    </w:p>
    <w:p w14:paraId="46876B7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31AE7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 Прийняття регуляторного акту</w:t>
      </w:r>
    </w:p>
    <w:p w14:paraId="10FF9C1F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9.1. Прийняття регуляторного акту здійснюється в порядку, встановленому Регламентом роботи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для прийняття рішень сільської ради.</w:t>
      </w:r>
    </w:p>
    <w:p w14:paraId="3915194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Регуляторний акт не може бути прийнятий, якщо наявна хоча б одна з таких обставин:</w:t>
      </w:r>
    </w:p>
    <w:p w14:paraId="797734E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відсутній аналіз регуляторного впливу;</w:t>
      </w:r>
    </w:p>
    <w:p w14:paraId="6D35244F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не був оприлюднений.</w:t>
      </w:r>
    </w:p>
    <w:p w14:paraId="2ABED2E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AE9B0C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 Офіційне оприлюднення прийнятих регуляторних актів</w:t>
      </w:r>
    </w:p>
    <w:p w14:paraId="467F0A1A" w14:textId="77777777" w:rsidR="00F47CB0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 Прийняті сільською радою регуляторні акти офіційно оприлюднюються в порядку, встановленому Законом України «Про засади державної регуляторної політики у сфері господарської діяльності» не пізніше 10-ти денного строку після їх прийняття та підписання.</w:t>
      </w:r>
    </w:p>
    <w:p w14:paraId="12B37345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59E02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33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11. Відстеження результативності регуляторних актів та їх перегляд</w:t>
      </w:r>
    </w:p>
    <w:p w14:paraId="57F919F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11.1. Відстеження результативності регуляторних актів, прийнятих сільською радою, здійснюється розробником </w:t>
      </w:r>
      <w:proofErr w:type="spellStart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регуляторного акту в порядку, встановленому ст. 10 Закону України «Про засади державної регуляторної політики у сфері господарської діяльності</w:t>
      </w: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», та відповідно до Постанови Кабінету Міністрів України від 11.03.2004 р. №308 «Про затвердження методики проведення аналізу впливу та відстеження результативності регуляторного акту».</w:t>
      </w:r>
    </w:p>
    <w:p w14:paraId="0A655AB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11.2. Звіт про відстеження результативності регуляторного акту оприлюднюється шляхом розміщення на офіційному сайті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Станіславчицької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сільської ради.</w:t>
      </w:r>
    </w:p>
    <w:p w14:paraId="6D5502DA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11.3. Звіт про відстеження результативності регуляторного акту, прийнятого сільською радою, не пізніше наступного робочого дня з дня оприлюднення цього звіту подається до профільної постійної комісії.</w:t>
      </w:r>
    </w:p>
    <w:p w14:paraId="715B5B2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11.4. Рішення про необхідність перегляду регуляторного акту, прийнятого сільською радою, на підставі аналізу звіту про відстеження його результативності приймає розробник </w:t>
      </w:r>
      <w:proofErr w:type="spellStart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проєкту</w:t>
      </w:r>
      <w:proofErr w:type="spellEnd"/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 xml:space="preserve"> цього регуляторного акту.</w:t>
      </w:r>
    </w:p>
    <w:p w14:paraId="58C3FD98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71E48CC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12. Оприлюднення інформації про здійснення регуляторної діяльності</w:t>
      </w:r>
    </w:p>
    <w:p w14:paraId="67F8AE7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12.1. Інформацію про здійснення регуляторної діяльності сільська рада розміщує на офіційному сайті сільської ради.</w:t>
      </w:r>
    </w:p>
    <w:p w14:paraId="4A49E9D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109DACF0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13. Звітування про здійснення державної регуляторної політики</w:t>
      </w:r>
    </w:p>
    <w:p w14:paraId="0C002B0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13.1. Сільська рада заслуховує щорічний звіт сільського голови про здійснення державної регуляторної політики.</w:t>
      </w:r>
    </w:p>
    <w:p w14:paraId="7D7ED1ED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13.2. Відповідальна постійна комісія попередньо розглядає питання щодо звіту голови сільської ради про здійснення державної регуляторної політики.</w:t>
      </w:r>
    </w:p>
    <w:p w14:paraId="0548680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13.3. Щорічний звіт голови сільської ради оприлюднюється на офіційному сайті сільської ради.</w:t>
      </w:r>
    </w:p>
    <w:p w14:paraId="45CAF8C1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16B5F0C3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>14. Відповідальність за порушення порядку регуляторної діяльності</w:t>
      </w:r>
    </w:p>
    <w:p w14:paraId="5CE22ADA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  <w:t>14.1. Посадові особи місцевого самоврядування, винні в порушенні порядку регуляторної діяльності встановленого Законом України «Про засади державної регуляторної політики у сфері господарської діяльності» притягуються до дисциплінарної відповідальності відповідно до Закону.</w:t>
      </w:r>
    </w:p>
    <w:p w14:paraId="6B92C80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790FD442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uk-UA"/>
        </w:rPr>
      </w:pPr>
    </w:p>
    <w:p w14:paraId="6F4ED897" w14:textId="77777777" w:rsidR="00F47CB0" w:rsidRPr="003F3337" w:rsidRDefault="00F47CB0" w:rsidP="00F47CB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</w:pP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Секретар сільської ради                      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        </w:t>
      </w:r>
      <w:r w:rsidRPr="003F333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uk-UA"/>
        </w:rPr>
        <w:t xml:space="preserve">               Ірина ТВЕРДОХЛІБ</w:t>
      </w:r>
    </w:p>
    <w:p w14:paraId="3ED8195C" w14:textId="77777777" w:rsidR="00F47CB0" w:rsidRPr="003F3337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351A5AF" w14:textId="77777777" w:rsidR="00F47CB0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E4DD415" w14:textId="77777777" w:rsidR="00F47CB0" w:rsidRDefault="00F47CB0" w:rsidP="00F47CB0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CBE901B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7C"/>
    <w:rsid w:val="0066607A"/>
    <w:rsid w:val="00AA0D7C"/>
    <w:rsid w:val="00F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F745"/>
  <w15:chartTrackingRefBased/>
  <w15:docId w15:val="{0DFBDE1E-6B5C-4010-8796-048EEB74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C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9073</Words>
  <Characters>5173</Characters>
  <Application>Microsoft Office Word</Application>
  <DocSecurity>0</DocSecurity>
  <Lines>43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2025-04-22T08:54:00Z</dcterms:created>
  <dcterms:modified xsi:type="dcterms:W3CDTF">2025-04-22T08:54:00Z</dcterms:modified>
</cp:coreProperties>
</file>